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 xml:space="preserve">附件3   </w:t>
      </w:r>
    </w:p>
    <w:p>
      <w:pPr>
        <w:widowControl/>
        <w:spacing w:line="580" w:lineRule="exact"/>
        <w:jc w:val="center"/>
        <w:textAlignment w:val="center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</w:pPr>
      <w:bookmarkStart w:id="0" w:name="_GoBack"/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沈阳市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  <w:t>长期护理保险定点护理服务机构</w:t>
      </w:r>
    </w:p>
    <w:p>
      <w:pPr>
        <w:widowControl/>
        <w:spacing w:line="580" w:lineRule="exact"/>
        <w:jc w:val="center"/>
        <w:textAlignment w:val="center"/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  <w:t>（居家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eastAsia="zh-CN"/>
        </w:rPr>
        <w:t>护理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  <w:t>）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评估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eastAsia="zh-CN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</w:pPr>
      <w:r>
        <w:rPr>
          <w:rFonts w:ascii="Times New Roman" w:hAnsi="Times New Roman" w:eastAsia="仿宋_GB2312"/>
          <w:color w:val="000000"/>
          <w:sz w:val="24"/>
          <w:highlight w:val="none"/>
          <w:u w:val="none"/>
        </w:rPr>
        <w:t>机构名称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</w:rPr>
        <w:t>（盖公章）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4"/>
          <w:highlight w:val="none"/>
          <w:u w:val="none"/>
          <w:lang w:eastAsia="zh-CN"/>
        </w:rPr>
        <w:t>机构</w:t>
      </w:r>
      <w:r>
        <w:rPr>
          <w:rFonts w:ascii="Times New Roman" w:hAnsi="Times New Roman" w:eastAsia="仿宋_GB2312"/>
          <w:color w:val="000000"/>
          <w:sz w:val="24"/>
          <w:highlight w:val="none"/>
          <w:u w:val="none"/>
        </w:rPr>
        <w:t>地址：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</w:rPr>
        <w:t xml:space="preserve">                 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        评估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</w:rPr>
        <w:t>时间：</w:t>
      </w:r>
      <w:r>
        <w:rPr>
          <w:rFonts w:hint="eastAsia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</w:t>
      </w:r>
    </w:p>
    <w:tbl>
      <w:tblPr>
        <w:tblStyle w:val="13"/>
        <w:tblW w:w="9477" w:type="dxa"/>
        <w:tblInd w:w="-19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0"/>
        <w:gridCol w:w="1177"/>
        <w:gridCol w:w="5281"/>
        <w:gridCol w:w="1152"/>
        <w:gridCol w:w="1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tblHeader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default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</w:rPr>
              <w:t>指标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ascii="Times New Roman" w:hAnsi="Times New Roman" w:eastAsia="黑体"/>
                <w:color w:val="000000"/>
                <w:sz w:val="24"/>
                <w:highlight w:val="none"/>
                <w:u w:val="none"/>
              </w:rPr>
              <w:t>标准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eastAsia="zh-CN"/>
              </w:rPr>
              <w:t>自评</w:t>
            </w:r>
            <w:r>
              <w:rPr>
                <w:rFonts w:hint="default" w:ascii="Times New Roman" w:hAnsi="Times New Roman" w:eastAsia="黑体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eastAsia="zh-CN"/>
              </w:rPr>
              <w:t>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服务资质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是否具备行业主管部门认可的服务资质，有提供定期上门护理服务的能力，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且符合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本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实施细则第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条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条件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之一。“否”即为不合格。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法人资格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是否具备法人资格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（不含分支机构和站点）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。“否”即为不合格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经营时间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是否在现营业场所正常营业（以执业许可证、设立许可证、备案时间、营业执照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bidi="ar"/>
              </w:rPr>
              <w:t>民办非企业单位登记证书、事业单位法人证书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为准，计算到申请当日）3个月及以上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即为不合格。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规范经营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遵守国家、省、市有关法律法规和政策规定及服务标准和规范；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规范经营，近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年内（不足的自开业以来）未发生重大安全事故，未受到失信处罚、行政处罚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属于医保定点医疗机构的，未受到医保行政部门处罚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其中一项为“否”即为不合格。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1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基础配置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是否配备熟悉长期护理保险政策规定及要求的专职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长期护理保险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管理人员，服务能力在100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含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人以上的是否成立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长期护理保险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管理内设工作机构；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配备一定数量的专职管理人员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专职长期护理服务人员。其中一项为“否”即为不合格。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1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制度建设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是否建立与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长期护理保险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管理相适应的内部管理制度，包括服务管理、财务管理、信息统计、内控管理、人员管理、档案管理等制度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“否”即为不合格。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信息技术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是否具备使用全国统一的医保信息平台、与医保信息平台长期护理保险功能模块按接口标准进行对接等条件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并配备相应的专业技术人员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其中一项为“否”即为不合格。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收费标准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长期护理保险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服务相关的收费项目和收费价格是否符合政策规定。“否”即为不合格。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经营场所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是否配备固定的经营管理用房和服务技能培训场地</w:t>
            </w:r>
            <w:r>
              <w:rPr>
                <w:rFonts w:hint="eastAsia" w:ascii="Times New Roman" w:hAnsi="Times New Roman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业务用房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（不含政府划拨使用，政府划拨用房提供相应使用协议）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的使用期限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年及以上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“否”即为不合格。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1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人员配备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长期护理服务人员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数量、承办能力是否与申请提供的服务相匹配，各类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护理人员数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重度失能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人员数量之比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是否达到准入要求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；配备持有效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医师、护士、长期照护师、医疗护理员、养老护理员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证书的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护理服务人员是否不少于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人，在本单位参加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职工医疗保险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的劳动年龄段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护理服务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人员是否不少于3人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。其中一项为“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”即为不合格。</w:t>
            </w:r>
          </w:p>
        </w:tc>
        <w:tc>
          <w:tcPr>
            <w:tcW w:w="11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医疗服务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医疗机构：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是否具备相应的医护专业人员，且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szCs w:val="22"/>
                <w:highlight w:val="none"/>
                <w:u w:val="none"/>
                <w:lang w:val="en-US" w:eastAsia="zh-CN"/>
              </w:rPr>
              <w:t>医护人员不少于</w:t>
            </w:r>
            <w:r>
              <w:rPr>
                <w:rFonts w:hint="eastAsia" w:eastAsia="仿宋_GB2312" w:cs="Times New Roman"/>
                <w:color w:val="000000"/>
                <w:spacing w:val="-6"/>
                <w:sz w:val="24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szCs w:val="22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。“否”即为不合格。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申请提供医疗护理服务的养老机构或其他服务机构：是否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医疗机构开展协议合作，具备相应的医护专业人员，能提供医疗护理服务的护士不少于1人。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“否”即为不合格。</w:t>
            </w:r>
          </w:p>
        </w:tc>
        <w:tc>
          <w:tcPr>
            <w:tcW w:w="11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不予受理的情形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是否存在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本实施细则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第十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七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条所规定的不予受理的情形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。如有一项不予受理的情形即为不合格。</w:t>
            </w:r>
          </w:p>
        </w:tc>
        <w:tc>
          <w:tcPr>
            <w:tcW w:w="11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9" w:hRule="atLeast"/>
        </w:trPr>
        <w:tc>
          <w:tcPr>
            <w:tcW w:w="8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hint="eastAsia" w:ascii="Times New Roman" w:hAnsi="Times New Roman" w:eastAsia="楷体_GB2312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eastAsia="zh-CN"/>
              </w:rPr>
              <w:t>结果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楷体_GB2312"/>
                <w:color w:val="000000"/>
                <w:sz w:val="24"/>
                <w:highlight w:val="none"/>
                <w:u w:val="none"/>
              </w:rPr>
              <w:t>以上为</w:t>
            </w:r>
            <w:r>
              <w:rPr>
                <w:rFonts w:ascii="Times New Roman" w:hAnsi="Times New Roman" w:eastAsia="楷体_GB2312"/>
                <w:color w:val="000000"/>
                <w:sz w:val="24"/>
                <w:highlight w:val="none"/>
                <w:u w:val="none"/>
              </w:rPr>
              <w:t>基础指标</w:t>
            </w:r>
            <w:r>
              <w:rPr>
                <w:rFonts w:hint="default" w:ascii="Times New Roman" w:hAnsi="Times New Roman" w:eastAsia="楷体_GB2312"/>
                <w:color w:val="000000"/>
                <w:sz w:val="24"/>
                <w:highlight w:val="none"/>
                <w:u w:val="none"/>
              </w:rPr>
              <w:t>，</w:t>
            </w:r>
            <w:r>
              <w:rPr>
                <w:rFonts w:ascii="Times New Roman" w:hAnsi="Times New Roman" w:eastAsia="楷体_GB2312"/>
                <w:color w:val="000000"/>
                <w:sz w:val="24"/>
                <w:highlight w:val="none"/>
                <w:u w:val="none"/>
              </w:rPr>
              <w:t>有一项不合格，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ascii="Times New Roman" w:hAnsi="Times New Roman" w:eastAsia="楷体_GB2312"/>
                <w:color w:val="000000"/>
                <w:sz w:val="24"/>
                <w:highlight w:val="none"/>
                <w:u w:val="none"/>
              </w:rPr>
              <w:t>结果即为不合格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hint="default" w:ascii="Times New Roman" w:hAnsi="Times New Roman" w:eastAsia="楷体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审核指标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标准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自评</w:t>
            </w:r>
            <w:r>
              <w:rPr>
                <w:rFonts w:hint="default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情况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注册资金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（5分）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机构注册资本或开办资金在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万（含）以上，每增加10万得0.5分，最高得5分。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建筑面积（5分）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经营场所建筑面积在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平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方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米（含）以上，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得2分，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每增加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平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方米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加0.5分，最高得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1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场所期限（5分）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自申请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当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日起经营场所租赁协议剩余有效期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超过2年（含）的得2分；超过3年（含）的得3分；超过4年（含）的得4分；超过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5年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（含）的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分；自有经营场所产权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及政府划拨用房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；</w:t>
            </w:r>
          </w:p>
        </w:tc>
        <w:tc>
          <w:tcPr>
            <w:tcW w:w="11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区域配置（5分）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设置独立的业务办公区（需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配备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符合要求的电脑设施设备）、实操培训区</w:t>
            </w: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（需配置培训设施设备）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满足一个功能区得</w:t>
            </w: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1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7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护理能力（20分）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护理服务人员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（指执业医师或者护士、长期照护师、医疗护理员、养老护理员）人数达到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得5分；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医护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或长期照护师每增加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人加1分，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最多加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5分；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养老护理员和医疗护理员人数每增加2人得1分，最多加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5分；具有中级（四级）及以上护理相关专业等级证书的护理服务人员，每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增加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1人加1分，最多加5分；合计得20分。</w:t>
            </w:r>
          </w:p>
        </w:tc>
        <w:tc>
          <w:tcPr>
            <w:tcW w:w="11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保障能力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（5分）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为服务对象购买相应保险得2.5分；为护理服务人员购买保险得2.5分。</w:t>
            </w:r>
          </w:p>
        </w:tc>
        <w:tc>
          <w:tcPr>
            <w:tcW w:w="11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人员年龄（5分）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根据提供的护理服务人员的平均年龄打分，平均年龄≤50周岁，加5分；50周岁&lt;平均年龄≤55周岁，加3分；55周岁&lt;平均年龄≤60周岁，加1分。</w:t>
            </w:r>
          </w:p>
        </w:tc>
        <w:tc>
          <w:tcPr>
            <w:tcW w:w="11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人员稳定（10分）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在本单位参加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医疗保险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的劳动年龄段护理服务人员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为执业医师或者护士、长期照护师、养老护理员、医疗护理员的，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在3人以上，每增加1人得0.5分，最高得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。其中连续参保三个月（含）以上的，每有1人，加0.5分；连续参保六个月（含）以上的，每有1人，加1分；加分值不超过5分。（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计算到申请当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月）</w:t>
            </w:r>
          </w:p>
        </w:tc>
        <w:tc>
          <w:tcPr>
            <w:tcW w:w="11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医疗服务（5分）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具有医疗服务资质的，得5分；签订医疗合作协议的，得2分。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床位设置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（5分）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实地查看护理服务床位数达到10张的得3分，每增加5张的加1分，最高得5分。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信息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系统（9分）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承诺在规定时间内完成内网专网部署的得1分;建立长护险数字化平台（含APP），得2分；有智能监控设备，且能够实现护理服务过程监控的得2分；建立服务评价体系（含问题反馈处理机制）的得2分;有智能护理设备（如智能助浴、带有预警或呼叫功能的体征检测设备等）的，得2分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档案管理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（3分）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有独立的档案管理区域，能够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建立失能人员一人一档的，得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分；实行电子化档案管理的，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加1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服务经验（3分）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已在国家长期护理保险试点城市开展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长期护理保险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服务业务的，一个城市（地级市为单位）得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分，最高得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内部培训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（5分）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具有开展护理人员内部培训的场地、培训设施等条件的，得1分；制定年度培训计划的（含师资、次数、内容等具体内容）得1分；具有培训验收机制的得1分；建立护理服务过程监督检查机制的得2分。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0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运营时间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（5分）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在现营业场所正常开展护理服务满3个月以上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得2分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，每增加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个月得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分，最高得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以执业许可证、设立许可证、备案时间、营业执照为准，计算到申请当日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运营报告（5分）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运营报告应客观、正确，符合服务机构规模、经营收入等实际情况，得1分；内容包括服务机构的总体经营情况，护理服务收费标准，申请承接重度失能人员数量，得2分；纳入定点后如何开展长期护理保险管理和提升服务质量等内容，得2分。根据报告进行打分，未提供分析报告的不得分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6" w:hRule="atLeast"/>
        </w:trPr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  <w:highlight w:val="none"/>
                <w:u w:val="none"/>
                <w:lang w:val="en-US" w:eastAsia="zh-CN"/>
              </w:rPr>
              <w:t>评估得分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9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highlight w:val="none"/>
                <w:u w:val="none"/>
                <w:lang w:val="en-US" w:eastAsia="zh-CN"/>
              </w:rPr>
              <w:t>以上为差异化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  <w:highlight w:val="none"/>
                <w:u w:val="none"/>
                <w:lang w:val="en-US" w:eastAsia="zh-CN"/>
              </w:rPr>
              <w:t>指标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  <w:highlight w:val="none"/>
                <w:u w:val="none"/>
                <w:lang w:val="en-US" w:eastAsia="zh-CN"/>
              </w:rPr>
              <w:t>根据得分择优确定。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11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11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11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11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11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11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11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widowControl/>
        <w:spacing w:line="580" w:lineRule="exact"/>
        <w:jc w:val="center"/>
        <w:textAlignment w:val="center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eastAsia="zh-CN"/>
        </w:rPr>
        <w:t>沈阳市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  <w:t>长期护理保险定点护理服务机构</w:t>
      </w:r>
    </w:p>
    <w:p>
      <w:pPr>
        <w:widowControl/>
        <w:spacing w:line="580" w:lineRule="exact"/>
        <w:jc w:val="center"/>
        <w:textAlignment w:val="center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eastAsia="zh-CN"/>
        </w:rPr>
        <w:t>社区护理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  <w:t>）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评估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</w:pPr>
      <w:r>
        <w:rPr>
          <w:rFonts w:ascii="Times New Roman" w:hAnsi="Times New Roman" w:eastAsia="仿宋_GB2312"/>
          <w:color w:val="000000"/>
          <w:sz w:val="24"/>
          <w:highlight w:val="none"/>
          <w:u w:val="none"/>
        </w:rPr>
        <w:t>机构名称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</w:rPr>
        <w:t>（盖公章）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4"/>
          <w:highlight w:val="none"/>
          <w:u w:val="none"/>
          <w:lang w:eastAsia="zh-CN"/>
        </w:rPr>
        <w:t>机构</w:t>
      </w:r>
      <w:r>
        <w:rPr>
          <w:rFonts w:ascii="Times New Roman" w:hAnsi="Times New Roman" w:eastAsia="仿宋_GB2312"/>
          <w:color w:val="000000"/>
          <w:sz w:val="24"/>
          <w:highlight w:val="none"/>
          <w:u w:val="none"/>
        </w:rPr>
        <w:t>地址：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</w:rPr>
        <w:t xml:space="preserve">                 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        评估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u w:val="none"/>
        </w:rPr>
        <w:t>时间：</w:t>
      </w:r>
      <w:r>
        <w:rPr>
          <w:rFonts w:hint="eastAsia" w:ascii="Times New Roman" w:hAnsi="Times New Roman" w:eastAsia="仿宋_GB2312"/>
          <w:color w:val="000000"/>
          <w:sz w:val="24"/>
          <w:highlight w:val="none"/>
          <w:u w:val="none"/>
          <w:lang w:val="en-US" w:eastAsia="zh-CN"/>
        </w:rPr>
        <w:t xml:space="preserve">  </w:t>
      </w:r>
    </w:p>
    <w:tbl>
      <w:tblPr>
        <w:tblStyle w:val="13"/>
        <w:tblW w:w="9477" w:type="dxa"/>
        <w:tblInd w:w="-19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0"/>
        <w:gridCol w:w="1177"/>
        <w:gridCol w:w="5121"/>
        <w:gridCol w:w="1206"/>
        <w:gridCol w:w="13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tblHeader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default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</w:rPr>
              <w:t>指标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ascii="Times New Roman" w:hAnsi="Times New Roman" w:eastAsia="黑体"/>
                <w:color w:val="000000"/>
                <w:sz w:val="24"/>
                <w:highlight w:val="none"/>
                <w:u w:val="none"/>
              </w:rPr>
              <w:t>标准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eastAsia="zh-CN"/>
              </w:rPr>
              <w:t>自评</w:t>
            </w:r>
            <w:r>
              <w:rPr>
                <w:rFonts w:hint="default" w:ascii="Times New Roman" w:hAnsi="Times New Roman" w:eastAsia="黑体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eastAsia="zh-CN"/>
              </w:rPr>
              <w:t>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服务资质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是否具备行业主管部门认可的服务资质，有提供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社区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护理服务的能力，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且符合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本实施细则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第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条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条件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之一。“否”即为不合格。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法人资格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是否具备法人资格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（不含分支机构和站点）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。“否”即为不合格。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经营时间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是否在现营业场所正常营业（以执业许可证、设立许可证、备案时间、营业执照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bidi="ar"/>
              </w:rPr>
              <w:t>民办非企业单位登记证书、事业单位法人证书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为准，计算到申请当日）3个月及以上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即为不合格。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4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规范经营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遵守国家、省、市有关法律法规和政策规定及服务标准和规范；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规范经营，近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年内（不足的自开业以来）未发生重大安全事故，未受到失信处罚、行政处罚，属于医保定点医疗机构的，未受到医保行政部门处罚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；是否具备必要的消防设施。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其中一项为“否”即为不合格。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基础配置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是否配备熟悉长期护理保险政策规定及要求的专职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长期护理保险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管理人员，服务能力在100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含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人以上的是否成立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长期护理保险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管理内设工作机构；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配备一定数量的专职管理人员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专职长期护理服务人员。其中一项为“否”即为不合格。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制度建设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是否建立与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长期护理保险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管理相适应的内部管理制度，包括服务管理、财务管理、信息统计、内控管理、人员管理、档案管理等制度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“否”即为不合格。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信息技术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是否具备使用全国统一的医保信息平台、与医保信息平台长期护理保险功能模块按接口标准进行对接等条件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并配备相应的专业技术人员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其中一项为“否”即为不合格。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收费标准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长期护理保险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服务相关的收费项目和收费价格是否符合政策规定。“否”即为不合格。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经营场所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是否配备固定的经营管理用房和服务技能培训场地，业务用房（不含政府划拨使用，政府划拨用房提供相应使用协议）的使用期限2年及以上</w:t>
            </w: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其中一项为“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”即为不合格。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人员配备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长期护理服务人员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数量、承办能力是否与申请提供的服务相匹配，各类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护理人员数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申请的重度失能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人员数量之比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是否达到准入要求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；配备持有效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医师、护士、长期照护师、医疗护理员、养老护理员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证书的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护理服务人员是否不少于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人，在本单位参加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职工医疗保险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的劳动年龄段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护理服务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人员是否不少于3人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。其中一项为“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”即为不合格。</w:t>
            </w: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医疗服务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医疗机构：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是否具备相应的医护专业人员，且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szCs w:val="22"/>
                <w:highlight w:val="none"/>
                <w:u w:val="none"/>
                <w:lang w:val="en-US" w:eastAsia="zh-CN"/>
              </w:rPr>
              <w:t>医护人员不少于</w:t>
            </w:r>
            <w:r>
              <w:rPr>
                <w:rFonts w:hint="eastAsia" w:eastAsia="仿宋_GB2312" w:cs="Times New Roman"/>
                <w:color w:val="000000"/>
                <w:spacing w:val="-6"/>
                <w:sz w:val="24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szCs w:val="22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。“否”即为不合格。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申请提供医疗护理服务的养老机构或其他服务机构：是否与医疗机构开展协议合作，具备相应的医护专业人员，能提供医疗护理服务的护士不少于1人。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“否”即为不合格。</w:t>
            </w: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不予受理的情形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是否存在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本实施细则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第十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七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条所规定的不予受理的情形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。如有一项不予受理的情形即为不合格。</w:t>
            </w:r>
          </w:p>
        </w:tc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7" w:hRule="atLeast"/>
        </w:trPr>
        <w:tc>
          <w:tcPr>
            <w:tcW w:w="8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hint="eastAsia" w:ascii="Times New Roman" w:hAnsi="Times New Roman" w:eastAsia="楷体_GB2312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eastAsia="zh-CN"/>
              </w:rPr>
              <w:t>结果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楷体_GB2312"/>
                <w:color w:val="000000"/>
                <w:sz w:val="24"/>
                <w:highlight w:val="none"/>
                <w:u w:val="none"/>
              </w:rPr>
              <w:t>以上为</w:t>
            </w:r>
            <w:r>
              <w:rPr>
                <w:rFonts w:ascii="Times New Roman" w:hAnsi="Times New Roman" w:eastAsia="楷体_GB2312"/>
                <w:color w:val="000000"/>
                <w:sz w:val="24"/>
                <w:highlight w:val="none"/>
                <w:u w:val="none"/>
              </w:rPr>
              <w:t>基础指标</w:t>
            </w:r>
            <w:r>
              <w:rPr>
                <w:rFonts w:hint="default" w:ascii="Times New Roman" w:hAnsi="Times New Roman" w:eastAsia="楷体_GB2312"/>
                <w:color w:val="000000"/>
                <w:sz w:val="24"/>
                <w:highlight w:val="none"/>
                <w:u w:val="none"/>
              </w:rPr>
              <w:t>，</w:t>
            </w:r>
            <w:r>
              <w:rPr>
                <w:rFonts w:ascii="Times New Roman" w:hAnsi="Times New Roman" w:eastAsia="楷体_GB2312"/>
                <w:color w:val="000000"/>
                <w:sz w:val="24"/>
                <w:highlight w:val="none"/>
                <w:u w:val="none"/>
              </w:rPr>
              <w:t>有一项不合格，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ascii="Times New Roman" w:hAnsi="Times New Roman" w:eastAsia="楷体_GB2312"/>
                <w:color w:val="000000"/>
                <w:sz w:val="24"/>
                <w:highlight w:val="none"/>
                <w:u w:val="none"/>
              </w:rPr>
              <w:t>结果即为不合格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hint="default" w:ascii="Times New Roman" w:hAnsi="Times New Roman" w:eastAsia="楷体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default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</w:rPr>
              <w:t>指标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ascii="Times New Roman" w:hAnsi="Times New Roman" w:eastAsia="黑体"/>
                <w:color w:val="000000"/>
                <w:sz w:val="24"/>
                <w:highlight w:val="none"/>
                <w:u w:val="none"/>
              </w:rPr>
              <w:t>标准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eastAsia="zh-CN"/>
              </w:rPr>
              <w:t>自评</w:t>
            </w:r>
            <w:r>
              <w:rPr>
                <w:rFonts w:hint="default" w:ascii="Times New Roman" w:hAnsi="Times New Roman" w:eastAsia="黑体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eastAsia="zh-CN"/>
              </w:rPr>
              <w:t>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注册资金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（5分）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机构注册资本或开办资金在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万（含）以上，每增加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万得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分，最高得5分。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建筑面积（10分）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经营场所建筑面积在</w:t>
            </w: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米（含）以上，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得5分，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每增加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分，最高得10分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场所期限（5分）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自申请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当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日起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经营场所租赁协议剩余有效期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超过2年（含）的得2分；超过3年（含）的得3分；超过4年（含）的得4分；超过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5年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（含）的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分；自有经营场所产权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及政府划拨用房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分。</w:t>
            </w: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护理能力（15分）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护理服务人员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（指执业医师或者护士、长期照护师、医疗护理员、养老护理员）人数达到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得5分；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医护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或长期照护师每增加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人加1分，养老护理员和医疗护理员人数每增加2人得1分，最多加5分；具有中级（四级）及以上等级证书的护理服务人员，每增加1人加1分，最多加5分；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合计得15分。</w:t>
            </w:r>
          </w:p>
        </w:tc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人员年龄（5分）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根据提供的护理服务人员的平均年龄打分，平均年龄≤50周岁，加5分；50周岁&lt;平均年龄≤55周岁，加3分；55周岁&lt;平均年龄≤60周岁，加1分。</w:t>
            </w:r>
          </w:p>
        </w:tc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2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人员稳定（5分）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在本单位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参加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医疗保险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的劳动年龄段护理服务人员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为执业医师或者护士、长期照护师、养老护理员、医疗护理员的，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在3人以上，每增加1人得0.5分，最高得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。其中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连续参保三个月（含）以上的，每有1人，加0.5分；连续参保六个月（含）以上的，每有1人，加1分；加分值不超过5分。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计算到申请当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医疗服务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（10分）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具有医疗服务资质的，得10分；签订医疗合作协议的，得5分。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床位设置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（10分）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实地查看护理床位数达到10张的得6分，每增加10张的加1分；床均面积低于准入标准的扣4分。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信息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系统（5分）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建立护理服务信息系统（含APP）得</w:t>
            </w:r>
            <w:r>
              <w:rPr>
                <w:rFonts w:hint="eastAsia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分，有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智能护理设备并实现数据互联互通的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，得2分；未建立信息系统但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承诺在规定时间内完成内网专网部署的得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分。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护理设施（10分）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护理服务过程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实现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信息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化/智能化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监控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或建立长护险数字化运行平台的，得5分；有康复训练器材或相关设施的，得4分（每种器材或设备加1分，需同时配置相应康复场地）；有医疗急救设备的，得1分。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应急处置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（5分）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制定突发事件应急预案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和拥有必要设施（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如火灾、地震、突发公共卫生事件、服务对象病情突变等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定期组织演练，得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，少一项扣1分；有投诉处理机制的，得3分。处理不及时、满意率偏低或无诉求处理经验的，不得分。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运营时间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（10分）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在现营业场所正常开展护理服务满3个月以上，每增加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个月得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分，最高得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分。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以执业许可证、设立许可证、备案时间、营业执照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的最后日期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为准，计算到申请当日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运营报告（5分）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运营报告应客观、正确，符合服务机构规模、经营收入等实际情况，得1分；内容包括服务机构的总体经营情况，护理服务收费标准，申请承接重度失能人员数量，得2分；纳入定点后如何开展长期护理保险管理和提升服务质量等内容，得2分。根据报告进行打分，未提供分析报告的不得分。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8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  <w:lang w:eastAsia="zh-CN"/>
              </w:rPr>
              <w:t>得分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" w:hRule="atLeast"/>
        </w:trPr>
        <w:tc>
          <w:tcPr>
            <w:tcW w:w="9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</w:rPr>
              <w:t>以上为差异化指标，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  <w:lang w:eastAsia="zh-CN"/>
              </w:rPr>
              <w:t>根据得分择优确定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>
      <w:pPr>
        <w:widowControl/>
        <w:spacing w:line="580" w:lineRule="exact"/>
        <w:jc w:val="center"/>
        <w:textAlignment w:val="center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沈阳市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  <w:t>长期护理保险定点护理服务机构</w:t>
      </w:r>
    </w:p>
    <w:p>
      <w:pPr>
        <w:widowControl/>
        <w:spacing w:line="580" w:lineRule="exact"/>
        <w:jc w:val="center"/>
        <w:textAlignment w:val="center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eastAsia="zh-CN"/>
        </w:rPr>
        <w:t>机构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  <w:t>护理）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评估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u w:val="none"/>
        </w:rPr>
        <w:t>表</w:t>
      </w:r>
    </w:p>
    <w:p>
      <w:pPr>
        <w:overflowPunct w:val="0"/>
        <w:spacing w:line="560" w:lineRule="exact"/>
        <w:jc w:val="both"/>
        <w:rPr>
          <w:rFonts w:hint="default" w:ascii="Times New Roman" w:hAnsi="Times New Roman" w:eastAsia="仿宋_GB2312"/>
          <w:color w:val="000000"/>
          <w:sz w:val="24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24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24"/>
          <w:highlight w:val="none"/>
        </w:rPr>
        <w:t>机构名称</w:t>
      </w:r>
      <w:r>
        <w:rPr>
          <w:rFonts w:hint="default" w:ascii="Times New Roman" w:hAnsi="Times New Roman" w:eastAsia="仿宋_GB2312"/>
          <w:color w:val="000000"/>
          <w:sz w:val="24"/>
          <w:highlight w:val="none"/>
        </w:rPr>
        <w:t xml:space="preserve">（盖公章） </w:t>
      </w:r>
      <w:r>
        <w:rPr>
          <w:rFonts w:ascii="Times New Roman" w:hAnsi="Times New Roman" w:eastAsia="仿宋_GB2312"/>
          <w:color w:val="000000"/>
          <w:sz w:val="24"/>
          <w:highlight w:val="none"/>
        </w:rPr>
        <w:t>：</w:t>
      </w:r>
      <w:r>
        <w:rPr>
          <w:rFonts w:hint="default" w:ascii="Times New Roman" w:hAnsi="Times New Roman" w:eastAsia="仿宋_GB2312"/>
          <w:color w:val="000000"/>
          <w:sz w:val="24"/>
          <w:highlight w:val="none"/>
        </w:rPr>
        <w:t xml:space="preserve">  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/>
          <w:color w:val="000000"/>
          <w:sz w:val="24"/>
          <w:highlight w:val="none"/>
        </w:rPr>
        <w:t xml:space="preserve">    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24"/>
          <w:highlight w:val="none"/>
        </w:rPr>
        <w:t xml:space="preserve"> </w:t>
      </w:r>
    </w:p>
    <w:p>
      <w:pPr>
        <w:overflowPunct w:val="0"/>
        <w:spacing w:line="560" w:lineRule="exact"/>
        <w:jc w:val="both"/>
        <w:rPr>
          <w:rFonts w:ascii="Times New Roman" w:hAnsi="Times New Roman" w:eastAsia="仿宋_GB2312"/>
          <w:color w:val="000000"/>
          <w:sz w:val="24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24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24"/>
          <w:highlight w:val="none"/>
        </w:rPr>
        <w:t>地址：</w:t>
      </w:r>
      <w:r>
        <w:rPr>
          <w:rFonts w:hint="default" w:ascii="Times New Roman" w:hAnsi="Times New Roman" w:eastAsia="仿宋_GB2312"/>
          <w:color w:val="000000"/>
          <w:sz w:val="24"/>
          <w:highlight w:val="none"/>
        </w:rPr>
        <w:t xml:space="preserve">                     </w:t>
      </w:r>
      <w:r>
        <w:rPr>
          <w:rFonts w:hint="default" w:ascii="Times New Roman" w:hAnsi="Times New Roman" w:eastAsia="仿宋_GB2312"/>
          <w:color w:val="000000"/>
          <w:sz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24"/>
          <w:highlight w:val="none"/>
          <w:lang w:val="en-US" w:eastAsia="zh-CN"/>
        </w:rPr>
        <w:t xml:space="preserve">               评估</w:t>
      </w:r>
      <w:r>
        <w:rPr>
          <w:rFonts w:hint="default" w:ascii="Times New Roman" w:hAnsi="Times New Roman" w:eastAsia="仿宋_GB2312"/>
          <w:color w:val="000000"/>
          <w:sz w:val="24"/>
          <w:highlight w:val="none"/>
        </w:rPr>
        <w:t>时间：</w:t>
      </w:r>
    </w:p>
    <w:tbl>
      <w:tblPr>
        <w:tblStyle w:val="13"/>
        <w:tblW w:w="90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9"/>
        <w:gridCol w:w="1215"/>
        <w:gridCol w:w="4804"/>
        <w:gridCol w:w="1200"/>
        <w:gridCol w:w="12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default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</w:rPr>
              <w:t>指标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ascii="Times New Roman" w:hAnsi="Times New Roman" w:eastAsia="黑体"/>
                <w:color w:val="000000"/>
                <w:sz w:val="24"/>
                <w:highlight w:val="none"/>
                <w:u w:val="none"/>
              </w:rPr>
              <w:t>标准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eastAsia="zh-CN"/>
              </w:rPr>
              <w:t>自评</w:t>
            </w:r>
            <w:r>
              <w:rPr>
                <w:rFonts w:hint="default" w:ascii="Times New Roman" w:hAnsi="Times New Roman" w:eastAsia="黑体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黑体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eastAsia="zh-CN"/>
              </w:rPr>
              <w:t>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</w:rPr>
              <w:t>服务资质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是否具备行业主管部门认可的服务资质，有提供每天24小时无间断护理服务的能力，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且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本实施细则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第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条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条件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之一。“否”即为不合格。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  <w:lang w:eastAsia="zh-CN"/>
              </w:rPr>
              <w:t>法人资格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是否具备法人资格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（不含分支机构和站点）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。“否”即为不合格。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</w:rPr>
              <w:t>经营时间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是否在现营业场所正常营业（以执业许可证、设立许可证、备案时间、营业执照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最后的日期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为准，计算到申请当日）3个月及以上，业务用房（不含政府划拨使用，政府划拨用房提供相应使用协议）的使用期限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年及以上。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即为不合格。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</w:rPr>
              <w:t>规范经营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遵守国家、省、市有关法律法规和政策规定及服务标准和规范；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规范经营，近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年内（不足的自开业以来）未发生重大安全事故，未受到失信处罚、行政处罚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属于医保定点医疗机构的，未受到医保行政部门处罚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。是否具备必要的消防设施。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其中一项为“否”即为不合格。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8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</w:rPr>
              <w:t>基础配置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是否配备熟悉长期护理保险政策规定及要求的专职管理人员，服务能力在100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含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人以上的是否成立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长期护理保险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管理内设工作机构；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配备一定数量的专职长期护理服务人员。其中一项为“否”即为不合格。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</w:rPr>
              <w:t>制度建设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是否建立与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长期护理保险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管理相适应的内部管理制度，包括服务管理、财务管理、信息统计、内控管理、人员管理、档案管理等制度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“否”即为不合格。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eastAsia="zh-CN"/>
              </w:rPr>
              <w:t>信息技术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是否具备使用全国统一的医保信息平台、与医保信息平台长期护理保险功能模块按接口标准进行对接等条件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“否”即为不合格。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收费标准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长期护理保险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服务相关的收费项目和收费价格是否符合政策规定。“否”即为不合格。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3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</w:rPr>
              <w:t>医疗服务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养老机构：是否有内设医疗机构或与医疗机构开展协议合作。“否”即为不合格。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医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养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机构：是否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具备相应的医护专业人员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，医师和护士各不少于2人。“否”即为不合格。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</w:rPr>
              <w:t>区域设置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养老机构：是否在相对独立区域设置长期护理服务专区，提供长期护理床位数不少于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0张</w:t>
            </w:r>
            <w:r>
              <w:rPr>
                <w:rFonts w:hint="eastAsia" w:ascii="Times New Roman" w:hAnsi="Times New Roman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“否”即为不合格。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医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养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机构：是否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在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相对独立区域单独设立长期护理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专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区，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符合养老机构建设标准并在民政部门完成养老机构备案登记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提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供长期护理床位数不少于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0张</w:t>
            </w:r>
            <w:r>
              <w:rPr>
                <w:rFonts w:hint="eastAsia" w:ascii="Times New Roman" w:hAnsi="Times New Roman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其中一项为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“否”即为不合格。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eastAsia="zh-CN"/>
              </w:rPr>
              <w:t>床位设立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床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位设立标准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是否符合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辽宁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省长期护理保险护理服务机构定点管理实施细则（试行）》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第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八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条机构护理对床位的准入要求，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“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”即为不合格。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</w:rPr>
              <w:t>人员配备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在本单位参加在职职工医疗保险的劳动年龄段护理服务人员不少于3人；长期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护理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人员数与服务专区床位数之比不得低于1: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5，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各类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护理人员数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量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与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申请承接重度失能人员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数量之比不低于1: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其中一项为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否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”即为不合格。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  <w:u w:val="none"/>
              </w:rPr>
              <w:t>不予受理的情形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是否存在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本实施细则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第十</w:t>
            </w:r>
            <w:r>
              <w:rPr>
                <w:rFonts w:hint="eastAsia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七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eastAsia="zh-CN"/>
              </w:rPr>
              <w:t>条所规定的不予受理的情形</w:t>
            </w: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</w:rPr>
              <w:t>。如有一项即为不合格。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8" w:hRule="atLeast"/>
          <w:jc w:val="center"/>
        </w:trPr>
        <w:tc>
          <w:tcPr>
            <w:tcW w:w="7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val="en-US" w:eastAsia="zh-CN"/>
              </w:rPr>
              <w:t>评估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u w:val="none"/>
                <w:lang w:eastAsia="zh-CN"/>
              </w:rPr>
              <w:t>结果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以上为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基础指标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有一项不合格，评估结果即为不合格。</w:t>
            </w: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经营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年限（10分）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6"/>
                <w:sz w:val="24"/>
                <w:highlight w:val="none"/>
                <w:u w:val="none"/>
                <w:lang w:val="en-US" w:eastAsia="zh-CN"/>
              </w:rPr>
              <w:t>在现营业场所正式运营3个月以上得3分；6个月以上的得5分；1年（含）以上的得7分；2年（含）以上的得10分。（以执业许可证、设立许可证、备案时间、营业执照中的最后日期为准，计算到申请当日）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场所面积（10分）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具有与开展业务相适应的固定经营场所，经营场所建筑面积≥500平方米得5分，在500平方米的基础上每增加100平方米加1分，最高加5分。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护理床位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（15分）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长期护理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专区床位数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20张得2分；21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张得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；51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张得8分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1-200张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得1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；200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以上的得15分。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床护配比（10分）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长期护理服务专区内的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长期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护理服务人员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申请服务重度失能人员数量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配比达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的，得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；超过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的，得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人员年龄（10分）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根据提供的护理服务人员的平均年龄打分，平均年龄≤50周岁，得10分；50周岁&lt;平均年龄≤55周岁，得7分；55周岁&lt;平均年龄≤60周岁，得5分；60周岁以上的不得分。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人员稳定（10分）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在本单位参加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职工医保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的劳动年龄段护理服务人员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，连续参保三个月（含）以上的，每有1人，加0.5分；连续参保六个月（含）以上的，每有1人，加1分；连续参保一年（含）以上的，每有1人，加1.5分。总加分值不超过10分。（计算到申请当月）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8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系统建设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（5分）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智能护理设备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（如智能助浴、智能护理床、带有分析、预警或呼叫功能的体征检测设备等）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，得2分；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能够提供护理服务过程信息监控措施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的得2分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；承诺在规定时间内完成内网专网部署的得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护理能力（15分）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机构的护理服务人员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为执业医师或者护士、长期照护师、养老护理员、医疗护理员的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；执业医师或者护士、长期照护师每有1人加1分，加分值不超过5分。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能力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（5分）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机构自身有医疗服务能力的，得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。无医疗能力，但有且能够使用医疗急救设备的得2分。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机构评级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（5分）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养老机构为三星级的，得3分，四星级的得4分，五星级的得5分。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运营报告（5分）</w:t>
            </w:r>
          </w:p>
        </w:tc>
        <w:tc>
          <w:tcPr>
            <w:tcW w:w="4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运营报告应客观、正确，符合服务机构规模、经营收入等实际情况，得1分；内容包括服务机构的总体经营情况，护理服务收费标准，申请承接重度失能人员数量，目前经营状态和远景规划，得2分；定点后如何开展长期护理保险管理和提升护理服务质量等内容。得2分。根据报告进行打分，未提供分析报告的不得分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pacing w:val="-6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  <w:lang w:val="en-US" w:eastAsia="zh-CN"/>
              </w:rPr>
              <w:t>评估得分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</w:rPr>
              <w:t>以上为差异化指标，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  <w:lang w:eastAsia="zh-CN"/>
              </w:rPr>
              <w:t>根据得分择优确定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auto"/>
        <w:rPr>
          <w:rFonts w:ascii="Times New Roman" w:hAnsi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</w:pPr>
    </w:p>
    <w:p>
      <w:pPr>
        <w:pStyle w:val="11"/>
        <w:rPr>
          <w:rFonts w:hint="default"/>
          <w:highlight w:val="none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CXMAcH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A44BF"/>
    <w:rsid w:val="00120125"/>
    <w:rsid w:val="00162B87"/>
    <w:rsid w:val="00211918"/>
    <w:rsid w:val="00233E93"/>
    <w:rsid w:val="002E1670"/>
    <w:rsid w:val="002E3A88"/>
    <w:rsid w:val="002F4A77"/>
    <w:rsid w:val="00322A1A"/>
    <w:rsid w:val="003607D0"/>
    <w:rsid w:val="003A511C"/>
    <w:rsid w:val="003F0BDC"/>
    <w:rsid w:val="004E7AF1"/>
    <w:rsid w:val="00542C72"/>
    <w:rsid w:val="00561774"/>
    <w:rsid w:val="0059190B"/>
    <w:rsid w:val="005F3A91"/>
    <w:rsid w:val="00637666"/>
    <w:rsid w:val="00653E0B"/>
    <w:rsid w:val="00833FB4"/>
    <w:rsid w:val="00864DF6"/>
    <w:rsid w:val="00896547"/>
    <w:rsid w:val="008E1795"/>
    <w:rsid w:val="00957982"/>
    <w:rsid w:val="009A720A"/>
    <w:rsid w:val="009D3C84"/>
    <w:rsid w:val="00A76EA1"/>
    <w:rsid w:val="00AC36C9"/>
    <w:rsid w:val="00B7313E"/>
    <w:rsid w:val="00BB3999"/>
    <w:rsid w:val="00BB700D"/>
    <w:rsid w:val="00BD78A2"/>
    <w:rsid w:val="00BE0092"/>
    <w:rsid w:val="00C263D7"/>
    <w:rsid w:val="00C67CC4"/>
    <w:rsid w:val="00CC0423"/>
    <w:rsid w:val="00CC2B75"/>
    <w:rsid w:val="00D01805"/>
    <w:rsid w:val="00D51514"/>
    <w:rsid w:val="00D97787"/>
    <w:rsid w:val="00DB5A57"/>
    <w:rsid w:val="00DD0370"/>
    <w:rsid w:val="00E314AB"/>
    <w:rsid w:val="00E47CEC"/>
    <w:rsid w:val="00F21FFE"/>
    <w:rsid w:val="00F603A0"/>
    <w:rsid w:val="00F60D89"/>
    <w:rsid w:val="00F6388A"/>
    <w:rsid w:val="00FA15B8"/>
    <w:rsid w:val="00FC5D95"/>
    <w:rsid w:val="05BC7A86"/>
    <w:rsid w:val="064FEE8C"/>
    <w:rsid w:val="06FE0ED7"/>
    <w:rsid w:val="0CF6D159"/>
    <w:rsid w:val="0F3EDE1D"/>
    <w:rsid w:val="0FBFD1D4"/>
    <w:rsid w:val="0FEEB0EB"/>
    <w:rsid w:val="119A123A"/>
    <w:rsid w:val="17E76200"/>
    <w:rsid w:val="1B2F709E"/>
    <w:rsid w:val="1BE78511"/>
    <w:rsid w:val="1BF4F341"/>
    <w:rsid w:val="1BFE17C9"/>
    <w:rsid w:val="1C5FD4B1"/>
    <w:rsid w:val="1DDE772B"/>
    <w:rsid w:val="1DFF0FD8"/>
    <w:rsid w:val="1EF98716"/>
    <w:rsid w:val="1F47E7E0"/>
    <w:rsid w:val="1FED3F39"/>
    <w:rsid w:val="1FFC3067"/>
    <w:rsid w:val="1FFFD43B"/>
    <w:rsid w:val="21FB7AB7"/>
    <w:rsid w:val="237AF204"/>
    <w:rsid w:val="26BE8C31"/>
    <w:rsid w:val="26FF7F95"/>
    <w:rsid w:val="27EFA83A"/>
    <w:rsid w:val="29696598"/>
    <w:rsid w:val="29FF2934"/>
    <w:rsid w:val="2DE5C8DA"/>
    <w:rsid w:val="2EF3F709"/>
    <w:rsid w:val="2EFF4E82"/>
    <w:rsid w:val="2FDFCEF5"/>
    <w:rsid w:val="2FF64C59"/>
    <w:rsid w:val="2FF75DEF"/>
    <w:rsid w:val="2FFD876B"/>
    <w:rsid w:val="31994F4D"/>
    <w:rsid w:val="319B2B43"/>
    <w:rsid w:val="326E986C"/>
    <w:rsid w:val="3273C504"/>
    <w:rsid w:val="329F428A"/>
    <w:rsid w:val="33BBB7A7"/>
    <w:rsid w:val="33C6CBAC"/>
    <w:rsid w:val="365B2B34"/>
    <w:rsid w:val="36DCFE75"/>
    <w:rsid w:val="377524AC"/>
    <w:rsid w:val="3797E79B"/>
    <w:rsid w:val="37AD4D62"/>
    <w:rsid w:val="37C595EF"/>
    <w:rsid w:val="3A7F2A58"/>
    <w:rsid w:val="3AF3DD63"/>
    <w:rsid w:val="3AFF9AF2"/>
    <w:rsid w:val="3B7C024B"/>
    <w:rsid w:val="3BBBEA64"/>
    <w:rsid w:val="3BFF9F3A"/>
    <w:rsid w:val="3C99ACAD"/>
    <w:rsid w:val="3CBFB55A"/>
    <w:rsid w:val="3CBFE055"/>
    <w:rsid w:val="3D7BB047"/>
    <w:rsid w:val="3DFF94E3"/>
    <w:rsid w:val="3E7B5E2C"/>
    <w:rsid w:val="3E9A5A41"/>
    <w:rsid w:val="3EFD0188"/>
    <w:rsid w:val="3EFF37F3"/>
    <w:rsid w:val="3F7F320C"/>
    <w:rsid w:val="3F941AD4"/>
    <w:rsid w:val="3FAD2D49"/>
    <w:rsid w:val="3FCBEB5E"/>
    <w:rsid w:val="3FD77B7A"/>
    <w:rsid w:val="3FE69950"/>
    <w:rsid w:val="3FEDC0CF"/>
    <w:rsid w:val="3FF9F4D2"/>
    <w:rsid w:val="3FFDB716"/>
    <w:rsid w:val="3FFE3298"/>
    <w:rsid w:val="417E399D"/>
    <w:rsid w:val="47BE49BF"/>
    <w:rsid w:val="49ED435C"/>
    <w:rsid w:val="4B6FCE3F"/>
    <w:rsid w:val="4BB9E935"/>
    <w:rsid w:val="4D7DB2B1"/>
    <w:rsid w:val="4DF68334"/>
    <w:rsid w:val="4DFF440E"/>
    <w:rsid w:val="4E3C2159"/>
    <w:rsid w:val="4E7FFF30"/>
    <w:rsid w:val="4ECFB31F"/>
    <w:rsid w:val="4F5B4868"/>
    <w:rsid w:val="4F9DEA63"/>
    <w:rsid w:val="4FBD6E3E"/>
    <w:rsid w:val="4FC74EC6"/>
    <w:rsid w:val="52EFC798"/>
    <w:rsid w:val="53B41958"/>
    <w:rsid w:val="53DA14D1"/>
    <w:rsid w:val="53FE7666"/>
    <w:rsid w:val="53FF046B"/>
    <w:rsid w:val="555F4E54"/>
    <w:rsid w:val="567E819E"/>
    <w:rsid w:val="56AE5CEB"/>
    <w:rsid w:val="56FD5C20"/>
    <w:rsid w:val="57AA9916"/>
    <w:rsid w:val="57BFA0E5"/>
    <w:rsid w:val="57EF4509"/>
    <w:rsid w:val="59E54411"/>
    <w:rsid w:val="5AEA9DD0"/>
    <w:rsid w:val="5B5FEA62"/>
    <w:rsid w:val="5BD412D6"/>
    <w:rsid w:val="5BD462C2"/>
    <w:rsid w:val="5BEF8C79"/>
    <w:rsid w:val="5BFF75BF"/>
    <w:rsid w:val="5C8F9262"/>
    <w:rsid w:val="5CFC83E6"/>
    <w:rsid w:val="5D3F1A6E"/>
    <w:rsid w:val="5DBB6795"/>
    <w:rsid w:val="5DBF81AB"/>
    <w:rsid w:val="5DFB6F74"/>
    <w:rsid w:val="5E7E91CF"/>
    <w:rsid w:val="5E7F8EF1"/>
    <w:rsid w:val="5EBEBD71"/>
    <w:rsid w:val="5EEB9E31"/>
    <w:rsid w:val="5EFF2A71"/>
    <w:rsid w:val="5F57D383"/>
    <w:rsid w:val="5F6E4594"/>
    <w:rsid w:val="5F7BEDCC"/>
    <w:rsid w:val="5F9F43B0"/>
    <w:rsid w:val="5FA616A8"/>
    <w:rsid w:val="5FADDA08"/>
    <w:rsid w:val="5FBF935E"/>
    <w:rsid w:val="5FDEBE88"/>
    <w:rsid w:val="5FE7636B"/>
    <w:rsid w:val="5FEEB70B"/>
    <w:rsid w:val="5FF7905D"/>
    <w:rsid w:val="5FFC51BE"/>
    <w:rsid w:val="5FFCA5DC"/>
    <w:rsid w:val="5FFE457D"/>
    <w:rsid w:val="5FFF2692"/>
    <w:rsid w:val="5FFFA249"/>
    <w:rsid w:val="5FFFE852"/>
    <w:rsid w:val="5FFFECCD"/>
    <w:rsid w:val="60DAAEF7"/>
    <w:rsid w:val="61DBFB33"/>
    <w:rsid w:val="62E7746B"/>
    <w:rsid w:val="63E7ADA4"/>
    <w:rsid w:val="63FFA61D"/>
    <w:rsid w:val="66FE4F2D"/>
    <w:rsid w:val="677EDB08"/>
    <w:rsid w:val="677FC794"/>
    <w:rsid w:val="67EEC324"/>
    <w:rsid w:val="67FE66B9"/>
    <w:rsid w:val="67FF23E7"/>
    <w:rsid w:val="697E8F68"/>
    <w:rsid w:val="69EBE439"/>
    <w:rsid w:val="69FD805D"/>
    <w:rsid w:val="69FF3E1D"/>
    <w:rsid w:val="6AFDAECE"/>
    <w:rsid w:val="6B71CCFE"/>
    <w:rsid w:val="6B77A499"/>
    <w:rsid w:val="6B9BAE16"/>
    <w:rsid w:val="6BB7CB2C"/>
    <w:rsid w:val="6BBB8FF2"/>
    <w:rsid w:val="6BBE7985"/>
    <w:rsid w:val="6BBF5D4A"/>
    <w:rsid w:val="6BECD0A9"/>
    <w:rsid w:val="6BFE416B"/>
    <w:rsid w:val="6D9DF4A4"/>
    <w:rsid w:val="6DAF3033"/>
    <w:rsid w:val="6DBBFC2F"/>
    <w:rsid w:val="6DEF5ADD"/>
    <w:rsid w:val="6DF806E3"/>
    <w:rsid w:val="6DFD06D7"/>
    <w:rsid w:val="6DFFA89D"/>
    <w:rsid w:val="6E57EE04"/>
    <w:rsid w:val="6E6F3313"/>
    <w:rsid w:val="6E7FF97B"/>
    <w:rsid w:val="6E8C096D"/>
    <w:rsid w:val="6EDFD5B1"/>
    <w:rsid w:val="6EE64459"/>
    <w:rsid w:val="6EF67F97"/>
    <w:rsid w:val="6EFFB9EA"/>
    <w:rsid w:val="6F2F2BA5"/>
    <w:rsid w:val="6F57FBCA"/>
    <w:rsid w:val="6F5AA0F8"/>
    <w:rsid w:val="6F7B020E"/>
    <w:rsid w:val="6FAA1B7D"/>
    <w:rsid w:val="6FAF94ED"/>
    <w:rsid w:val="6FBFA4CF"/>
    <w:rsid w:val="6FBFD1F1"/>
    <w:rsid w:val="6FF5278C"/>
    <w:rsid w:val="6FF7F173"/>
    <w:rsid w:val="6FFC310A"/>
    <w:rsid w:val="6FFE2F13"/>
    <w:rsid w:val="6FFF6CF4"/>
    <w:rsid w:val="6FFF9562"/>
    <w:rsid w:val="703F1014"/>
    <w:rsid w:val="71F3AAAC"/>
    <w:rsid w:val="727F8797"/>
    <w:rsid w:val="72EFDC5F"/>
    <w:rsid w:val="72FEA9A4"/>
    <w:rsid w:val="73B74DC8"/>
    <w:rsid w:val="73BB24C0"/>
    <w:rsid w:val="73F6DF20"/>
    <w:rsid w:val="73F70831"/>
    <w:rsid w:val="73F75843"/>
    <w:rsid w:val="73F75CB3"/>
    <w:rsid w:val="73F7BB6C"/>
    <w:rsid w:val="74EA843A"/>
    <w:rsid w:val="74FD9533"/>
    <w:rsid w:val="757C0F5E"/>
    <w:rsid w:val="757DE146"/>
    <w:rsid w:val="758F3D0E"/>
    <w:rsid w:val="75D72995"/>
    <w:rsid w:val="75ED5D32"/>
    <w:rsid w:val="75F60F39"/>
    <w:rsid w:val="75F618D8"/>
    <w:rsid w:val="75FDB519"/>
    <w:rsid w:val="773BC595"/>
    <w:rsid w:val="773D6E38"/>
    <w:rsid w:val="773F1E80"/>
    <w:rsid w:val="777A5502"/>
    <w:rsid w:val="777A8987"/>
    <w:rsid w:val="777F1D5B"/>
    <w:rsid w:val="777F3B42"/>
    <w:rsid w:val="77D14A93"/>
    <w:rsid w:val="77DB5BB6"/>
    <w:rsid w:val="77DFAC7F"/>
    <w:rsid w:val="77EFB35E"/>
    <w:rsid w:val="77FA0AF1"/>
    <w:rsid w:val="77FB24BA"/>
    <w:rsid w:val="77FBF76B"/>
    <w:rsid w:val="77FED36B"/>
    <w:rsid w:val="77FF6797"/>
    <w:rsid w:val="77FF8E51"/>
    <w:rsid w:val="78FE481A"/>
    <w:rsid w:val="78FFFA48"/>
    <w:rsid w:val="7923619F"/>
    <w:rsid w:val="792F5D83"/>
    <w:rsid w:val="796F5E71"/>
    <w:rsid w:val="797F51B6"/>
    <w:rsid w:val="798F6A79"/>
    <w:rsid w:val="7A71DD3C"/>
    <w:rsid w:val="7A7FA8CF"/>
    <w:rsid w:val="7A9FF2F9"/>
    <w:rsid w:val="7AB95CF1"/>
    <w:rsid w:val="7AC3808D"/>
    <w:rsid w:val="7B4B7343"/>
    <w:rsid w:val="7B4C16BD"/>
    <w:rsid w:val="7B753F38"/>
    <w:rsid w:val="7B8F4C61"/>
    <w:rsid w:val="7BB733D2"/>
    <w:rsid w:val="7BBB3126"/>
    <w:rsid w:val="7BC79C2E"/>
    <w:rsid w:val="7BD970EF"/>
    <w:rsid w:val="7BDF9DC3"/>
    <w:rsid w:val="7BEFFBCE"/>
    <w:rsid w:val="7BF8F531"/>
    <w:rsid w:val="7BFDA833"/>
    <w:rsid w:val="7BFE7363"/>
    <w:rsid w:val="7BFF3115"/>
    <w:rsid w:val="7BFF5D9E"/>
    <w:rsid w:val="7CD3F590"/>
    <w:rsid w:val="7CDB1DF3"/>
    <w:rsid w:val="7CEE7C78"/>
    <w:rsid w:val="7CFD88E0"/>
    <w:rsid w:val="7CFEF94C"/>
    <w:rsid w:val="7DB6E24D"/>
    <w:rsid w:val="7DBD3112"/>
    <w:rsid w:val="7DBEAB95"/>
    <w:rsid w:val="7DBED554"/>
    <w:rsid w:val="7DCF05C6"/>
    <w:rsid w:val="7DEAFFF7"/>
    <w:rsid w:val="7DEE9A72"/>
    <w:rsid w:val="7DF6CFE7"/>
    <w:rsid w:val="7DFB97E1"/>
    <w:rsid w:val="7DFBAF23"/>
    <w:rsid w:val="7DFD397B"/>
    <w:rsid w:val="7DFF267B"/>
    <w:rsid w:val="7E186E19"/>
    <w:rsid w:val="7E6D4F5C"/>
    <w:rsid w:val="7E757242"/>
    <w:rsid w:val="7E7F585C"/>
    <w:rsid w:val="7E9EA66F"/>
    <w:rsid w:val="7EBF35AE"/>
    <w:rsid w:val="7ECFB6DF"/>
    <w:rsid w:val="7ED8C86D"/>
    <w:rsid w:val="7EDF37C3"/>
    <w:rsid w:val="7EE137C4"/>
    <w:rsid w:val="7EEC5C91"/>
    <w:rsid w:val="7EEF0A72"/>
    <w:rsid w:val="7EF3E071"/>
    <w:rsid w:val="7EF6D0DC"/>
    <w:rsid w:val="7EF7D88D"/>
    <w:rsid w:val="7EFCF508"/>
    <w:rsid w:val="7EFD03DE"/>
    <w:rsid w:val="7EFFB47D"/>
    <w:rsid w:val="7EFFDD05"/>
    <w:rsid w:val="7F2F13FA"/>
    <w:rsid w:val="7F2F4FAA"/>
    <w:rsid w:val="7F339DF1"/>
    <w:rsid w:val="7F3F8009"/>
    <w:rsid w:val="7F47B81D"/>
    <w:rsid w:val="7F5FFB88"/>
    <w:rsid w:val="7F7E12F9"/>
    <w:rsid w:val="7F7EA048"/>
    <w:rsid w:val="7F7F08C0"/>
    <w:rsid w:val="7F7FCDEF"/>
    <w:rsid w:val="7F7FE777"/>
    <w:rsid w:val="7F9B0E2F"/>
    <w:rsid w:val="7FAF1A32"/>
    <w:rsid w:val="7FB27C2F"/>
    <w:rsid w:val="7FB3F799"/>
    <w:rsid w:val="7FB4978C"/>
    <w:rsid w:val="7FB738B2"/>
    <w:rsid w:val="7FB7C67E"/>
    <w:rsid w:val="7FB7EF47"/>
    <w:rsid w:val="7FB8CDC6"/>
    <w:rsid w:val="7FBE76DB"/>
    <w:rsid w:val="7FBE8063"/>
    <w:rsid w:val="7FBFF8AB"/>
    <w:rsid w:val="7FD99469"/>
    <w:rsid w:val="7FDF4A54"/>
    <w:rsid w:val="7FDF75D7"/>
    <w:rsid w:val="7FE6505B"/>
    <w:rsid w:val="7FE84FA8"/>
    <w:rsid w:val="7FEADCC0"/>
    <w:rsid w:val="7FEC9F48"/>
    <w:rsid w:val="7FEDD84F"/>
    <w:rsid w:val="7FEECBBE"/>
    <w:rsid w:val="7FEF52FC"/>
    <w:rsid w:val="7FEFD20B"/>
    <w:rsid w:val="7FF3AEF4"/>
    <w:rsid w:val="7FF70EB4"/>
    <w:rsid w:val="7FFB1B18"/>
    <w:rsid w:val="7FFC0665"/>
    <w:rsid w:val="7FFD77C6"/>
    <w:rsid w:val="7FFFE4DA"/>
    <w:rsid w:val="7FFFF4E3"/>
    <w:rsid w:val="86BF0F20"/>
    <w:rsid w:val="86E6B4F0"/>
    <w:rsid w:val="8CBFF0FC"/>
    <w:rsid w:val="8CFFBDAB"/>
    <w:rsid w:val="8FA98D4A"/>
    <w:rsid w:val="8FDBE302"/>
    <w:rsid w:val="8FEEB5A9"/>
    <w:rsid w:val="93FEDD94"/>
    <w:rsid w:val="95FAF302"/>
    <w:rsid w:val="96EFE3C8"/>
    <w:rsid w:val="97E771AE"/>
    <w:rsid w:val="97EDAB36"/>
    <w:rsid w:val="9AFF73E7"/>
    <w:rsid w:val="9C3E3E71"/>
    <w:rsid w:val="9C3F8E02"/>
    <w:rsid w:val="9DDE6165"/>
    <w:rsid w:val="9DEFAE38"/>
    <w:rsid w:val="9DFBBF00"/>
    <w:rsid w:val="9E359493"/>
    <w:rsid w:val="9E5FF345"/>
    <w:rsid w:val="9EBE769B"/>
    <w:rsid w:val="9ED51940"/>
    <w:rsid w:val="9F7AEAA1"/>
    <w:rsid w:val="9FBDF610"/>
    <w:rsid w:val="9FDD77CD"/>
    <w:rsid w:val="9FFB3138"/>
    <w:rsid w:val="9FFE0D2D"/>
    <w:rsid w:val="9FFF9FDF"/>
    <w:rsid w:val="A1FE9A36"/>
    <w:rsid w:val="A49F3382"/>
    <w:rsid w:val="A7B5E532"/>
    <w:rsid w:val="A87B598D"/>
    <w:rsid w:val="ADD96560"/>
    <w:rsid w:val="AE6FEB40"/>
    <w:rsid w:val="AEEACE27"/>
    <w:rsid w:val="AF3B2661"/>
    <w:rsid w:val="AF8D0EFD"/>
    <w:rsid w:val="AF8F2C87"/>
    <w:rsid w:val="AFDAC177"/>
    <w:rsid w:val="AFEF3469"/>
    <w:rsid w:val="AFFB84ED"/>
    <w:rsid w:val="AFFBCFF0"/>
    <w:rsid w:val="AFFF1771"/>
    <w:rsid w:val="AFFF2549"/>
    <w:rsid w:val="AFFF92C1"/>
    <w:rsid w:val="B0FF67A8"/>
    <w:rsid w:val="B2FEE8C4"/>
    <w:rsid w:val="B33A10DE"/>
    <w:rsid w:val="B57D10C8"/>
    <w:rsid w:val="B5EFD3C3"/>
    <w:rsid w:val="B5F49E4A"/>
    <w:rsid w:val="B6BC74D0"/>
    <w:rsid w:val="B6F9E49B"/>
    <w:rsid w:val="B727F903"/>
    <w:rsid w:val="B7BFC799"/>
    <w:rsid w:val="B7CB5F12"/>
    <w:rsid w:val="B7FDC13C"/>
    <w:rsid w:val="B84EE8F7"/>
    <w:rsid w:val="B95BE938"/>
    <w:rsid w:val="BAFDCDB0"/>
    <w:rsid w:val="BAFF6BD5"/>
    <w:rsid w:val="BBEF1D54"/>
    <w:rsid w:val="BBF77BD6"/>
    <w:rsid w:val="BC4FEFE1"/>
    <w:rsid w:val="BDFB8419"/>
    <w:rsid w:val="BDFC86C1"/>
    <w:rsid w:val="BE5F265B"/>
    <w:rsid w:val="BEFE6CEC"/>
    <w:rsid w:val="BF3FB60E"/>
    <w:rsid w:val="BF58FDF9"/>
    <w:rsid w:val="BF75B00E"/>
    <w:rsid w:val="BF792CCC"/>
    <w:rsid w:val="BFB57586"/>
    <w:rsid w:val="BFB97EC5"/>
    <w:rsid w:val="BFBECF6D"/>
    <w:rsid w:val="BFBFC515"/>
    <w:rsid w:val="BFD38CD6"/>
    <w:rsid w:val="BFEA8F75"/>
    <w:rsid w:val="BFF14385"/>
    <w:rsid w:val="BFFBCDFF"/>
    <w:rsid w:val="BFFD023F"/>
    <w:rsid w:val="BFFF5246"/>
    <w:rsid w:val="BFFFB276"/>
    <w:rsid w:val="BFFFB4A1"/>
    <w:rsid w:val="C3F5E892"/>
    <w:rsid w:val="C44FB45F"/>
    <w:rsid w:val="C7DFDD7C"/>
    <w:rsid w:val="C7F345A5"/>
    <w:rsid w:val="C8FF4DBE"/>
    <w:rsid w:val="CB77D0EC"/>
    <w:rsid w:val="CBFC8F54"/>
    <w:rsid w:val="CC9F42AC"/>
    <w:rsid w:val="CD7FC29E"/>
    <w:rsid w:val="CDAA0985"/>
    <w:rsid w:val="CDDC5320"/>
    <w:rsid w:val="CEF70AA5"/>
    <w:rsid w:val="CFBEB742"/>
    <w:rsid w:val="CFF77960"/>
    <w:rsid w:val="CFFA8E47"/>
    <w:rsid w:val="D1A52F54"/>
    <w:rsid w:val="D27E06E0"/>
    <w:rsid w:val="D54FA90D"/>
    <w:rsid w:val="D637A041"/>
    <w:rsid w:val="D67F5673"/>
    <w:rsid w:val="D6DD0BB4"/>
    <w:rsid w:val="D747D1A1"/>
    <w:rsid w:val="D767477F"/>
    <w:rsid w:val="D7BB661E"/>
    <w:rsid w:val="D7BFC181"/>
    <w:rsid w:val="D7EF410E"/>
    <w:rsid w:val="D7F38421"/>
    <w:rsid w:val="D8275584"/>
    <w:rsid w:val="D9F363CF"/>
    <w:rsid w:val="D9FBC573"/>
    <w:rsid w:val="DAFF09C9"/>
    <w:rsid w:val="DBFE0166"/>
    <w:rsid w:val="DCF5D3AB"/>
    <w:rsid w:val="DCFB4CD3"/>
    <w:rsid w:val="DD891ABB"/>
    <w:rsid w:val="DDE8E69D"/>
    <w:rsid w:val="DDEF7FE1"/>
    <w:rsid w:val="DDFD72BC"/>
    <w:rsid w:val="DDFFC14C"/>
    <w:rsid w:val="DE2B4303"/>
    <w:rsid w:val="DE330624"/>
    <w:rsid w:val="DE6F09BF"/>
    <w:rsid w:val="DEF70D84"/>
    <w:rsid w:val="DEF75395"/>
    <w:rsid w:val="DEFEB832"/>
    <w:rsid w:val="DEFF3591"/>
    <w:rsid w:val="DF62BE39"/>
    <w:rsid w:val="DF6F25CF"/>
    <w:rsid w:val="DF77BA08"/>
    <w:rsid w:val="DF7AB427"/>
    <w:rsid w:val="DF7D1E0C"/>
    <w:rsid w:val="DF7FEEAE"/>
    <w:rsid w:val="DFD85854"/>
    <w:rsid w:val="DFDF417D"/>
    <w:rsid w:val="DFEF5BD4"/>
    <w:rsid w:val="DFF385B7"/>
    <w:rsid w:val="DFFAB03C"/>
    <w:rsid w:val="DFFBDABE"/>
    <w:rsid w:val="DFFCCCAF"/>
    <w:rsid w:val="DFFCE8FD"/>
    <w:rsid w:val="DFFD26AD"/>
    <w:rsid w:val="DFFF0AE5"/>
    <w:rsid w:val="E2FD3020"/>
    <w:rsid w:val="E3D7D0CD"/>
    <w:rsid w:val="E4F3B133"/>
    <w:rsid w:val="E5F341D9"/>
    <w:rsid w:val="E6BF2699"/>
    <w:rsid w:val="E7775279"/>
    <w:rsid w:val="E7BF9413"/>
    <w:rsid w:val="E7EFA2FF"/>
    <w:rsid w:val="E93D5272"/>
    <w:rsid w:val="E97F6E3F"/>
    <w:rsid w:val="E9F71EFB"/>
    <w:rsid w:val="E9FB2F63"/>
    <w:rsid w:val="EB7AD4B6"/>
    <w:rsid w:val="EB9F04D0"/>
    <w:rsid w:val="EB9F3C8A"/>
    <w:rsid w:val="EBB7288E"/>
    <w:rsid w:val="EBCE21C0"/>
    <w:rsid w:val="EBDBE25C"/>
    <w:rsid w:val="EBF5E8E0"/>
    <w:rsid w:val="EC0FE1F6"/>
    <w:rsid w:val="EC729C52"/>
    <w:rsid w:val="ECCB4410"/>
    <w:rsid w:val="ECDF750C"/>
    <w:rsid w:val="ECFE0726"/>
    <w:rsid w:val="ECFFCF15"/>
    <w:rsid w:val="ED3E6401"/>
    <w:rsid w:val="ED57D1E8"/>
    <w:rsid w:val="ED6796DC"/>
    <w:rsid w:val="ED7C5E34"/>
    <w:rsid w:val="ED8B1433"/>
    <w:rsid w:val="EDED09A3"/>
    <w:rsid w:val="EDEFBF5C"/>
    <w:rsid w:val="EDFB9517"/>
    <w:rsid w:val="EDFD730E"/>
    <w:rsid w:val="EDFF2947"/>
    <w:rsid w:val="EE59C24A"/>
    <w:rsid w:val="EE7BDE8A"/>
    <w:rsid w:val="EEF6DF70"/>
    <w:rsid w:val="EEFA2040"/>
    <w:rsid w:val="EEFFE7B5"/>
    <w:rsid w:val="EF1D2569"/>
    <w:rsid w:val="EF2FCEF4"/>
    <w:rsid w:val="EF39F62D"/>
    <w:rsid w:val="EF6ECC91"/>
    <w:rsid w:val="EF7E6D34"/>
    <w:rsid w:val="EF8C829E"/>
    <w:rsid w:val="EFB74E74"/>
    <w:rsid w:val="EFD606C8"/>
    <w:rsid w:val="EFED2AE3"/>
    <w:rsid w:val="EFEDC38B"/>
    <w:rsid w:val="EFF7845E"/>
    <w:rsid w:val="EFFE6B7F"/>
    <w:rsid w:val="EFFEC71E"/>
    <w:rsid w:val="EFFFC577"/>
    <w:rsid w:val="EFFFD760"/>
    <w:rsid w:val="F0AF59DC"/>
    <w:rsid w:val="F15519A0"/>
    <w:rsid w:val="F1F53C94"/>
    <w:rsid w:val="F27F26A9"/>
    <w:rsid w:val="F27F533F"/>
    <w:rsid w:val="F2FF1326"/>
    <w:rsid w:val="F33BD81A"/>
    <w:rsid w:val="F33C3B13"/>
    <w:rsid w:val="F37A3C18"/>
    <w:rsid w:val="F37F04DD"/>
    <w:rsid w:val="F3BE6EC1"/>
    <w:rsid w:val="F3FE0826"/>
    <w:rsid w:val="F3FF1C98"/>
    <w:rsid w:val="F4A386DC"/>
    <w:rsid w:val="F4DC4886"/>
    <w:rsid w:val="F4DF3C28"/>
    <w:rsid w:val="F557D6C5"/>
    <w:rsid w:val="F57EE8BF"/>
    <w:rsid w:val="F5BF4EC1"/>
    <w:rsid w:val="F5DA5701"/>
    <w:rsid w:val="F5FAD1AE"/>
    <w:rsid w:val="F5FFC33A"/>
    <w:rsid w:val="F6C65945"/>
    <w:rsid w:val="F6FB5275"/>
    <w:rsid w:val="F73B422E"/>
    <w:rsid w:val="F74F3FE6"/>
    <w:rsid w:val="F77F9FA5"/>
    <w:rsid w:val="F77FCC0D"/>
    <w:rsid w:val="F7AF00D0"/>
    <w:rsid w:val="F7B34260"/>
    <w:rsid w:val="F7BBD1D7"/>
    <w:rsid w:val="F7BFEF56"/>
    <w:rsid w:val="F7DB8BB2"/>
    <w:rsid w:val="F7EE707B"/>
    <w:rsid w:val="F7F30FAC"/>
    <w:rsid w:val="F7F32454"/>
    <w:rsid w:val="F7FA8081"/>
    <w:rsid w:val="F7FB83EC"/>
    <w:rsid w:val="F7FE08BE"/>
    <w:rsid w:val="F7FE0FB8"/>
    <w:rsid w:val="F7FE7B53"/>
    <w:rsid w:val="F7FF0418"/>
    <w:rsid w:val="F7FFA17B"/>
    <w:rsid w:val="F85F471B"/>
    <w:rsid w:val="F8BEF1F4"/>
    <w:rsid w:val="F9469F48"/>
    <w:rsid w:val="F97A82A1"/>
    <w:rsid w:val="F9AFF835"/>
    <w:rsid w:val="F9BF435B"/>
    <w:rsid w:val="F9EC2668"/>
    <w:rsid w:val="F9EF53B8"/>
    <w:rsid w:val="F9FFCC91"/>
    <w:rsid w:val="FA72F9E2"/>
    <w:rsid w:val="FABF057D"/>
    <w:rsid w:val="FADDD718"/>
    <w:rsid w:val="FAF56DEF"/>
    <w:rsid w:val="FAF68E37"/>
    <w:rsid w:val="FAF74BD6"/>
    <w:rsid w:val="FAFA5655"/>
    <w:rsid w:val="FAFD6F6E"/>
    <w:rsid w:val="FAFF227C"/>
    <w:rsid w:val="FAFF7ABE"/>
    <w:rsid w:val="FB3FA21A"/>
    <w:rsid w:val="FB7E73A6"/>
    <w:rsid w:val="FB7FC08B"/>
    <w:rsid w:val="FB9DCD09"/>
    <w:rsid w:val="FBBF522B"/>
    <w:rsid w:val="FBDDF829"/>
    <w:rsid w:val="FBE523F7"/>
    <w:rsid w:val="FBE929E0"/>
    <w:rsid w:val="FBEF9FA4"/>
    <w:rsid w:val="FBFEB6E9"/>
    <w:rsid w:val="FBFF2D3D"/>
    <w:rsid w:val="FBFF5BA3"/>
    <w:rsid w:val="FBFFDB92"/>
    <w:rsid w:val="FC3BD78F"/>
    <w:rsid w:val="FC3CB576"/>
    <w:rsid w:val="FC695B08"/>
    <w:rsid w:val="FC7B893D"/>
    <w:rsid w:val="FC9B0EB5"/>
    <w:rsid w:val="FCB7B1D3"/>
    <w:rsid w:val="FCE7383C"/>
    <w:rsid w:val="FCF3FC5A"/>
    <w:rsid w:val="FCF6A180"/>
    <w:rsid w:val="FCF9E4FA"/>
    <w:rsid w:val="FCFC1424"/>
    <w:rsid w:val="FCFCB111"/>
    <w:rsid w:val="FDD2824A"/>
    <w:rsid w:val="FDD7A529"/>
    <w:rsid w:val="FDDBDD53"/>
    <w:rsid w:val="FDDEAA3E"/>
    <w:rsid w:val="FDEB898F"/>
    <w:rsid w:val="FDF77D9A"/>
    <w:rsid w:val="FDFF1E63"/>
    <w:rsid w:val="FDFF601E"/>
    <w:rsid w:val="FE5316BF"/>
    <w:rsid w:val="FE6C2327"/>
    <w:rsid w:val="FEA6C232"/>
    <w:rsid w:val="FEBA50B3"/>
    <w:rsid w:val="FEBA5E03"/>
    <w:rsid w:val="FEBCB994"/>
    <w:rsid w:val="FEBDCA63"/>
    <w:rsid w:val="FED65A23"/>
    <w:rsid w:val="FEDD2555"/>
    <w:rsid w:val="FEEDAC84"/>
    <w:rsid w:val="FEF71CA5"/>
    <w:rsid w:val="FEFB981F"/>
    <w:rsid w:val="FEFE2C3B"/>
    <w:rsid w:val="FEFE6778"/>
    <w:rsid w:val="FEFFAF3C"/>
    <w:rsid w:val="FF37F34E"/>
    <w:rsid w:val="FF46A45C"/>
    <w:rsid w:val="FF532F08"/>
    <w:rsid w:val="FF5762AF"/>
    <w:rsid w:val="FF5D7721"/>
    <w:rsid w:val="FF5E09AC"/>
    <w:rsid w:val="FF6723C5"/>
    <w:rsid w:val="FF7544E6"/>
    <w:rsid w:val="FF75F239"/>
    <w:rsid w:val="FF760318"/>
    <w:rsid w:val="FF79CC2B"/>
    <w:rsid w:val="FF7BB317"/>
    <w:rsid w:val="FF7C2C10"/>
    <w:rsid w:val="FF7DF4DB"/>
    <w:rsid w:val="FF7F9682"/>
    <w:rsid w:val="FF8EC4C9"/>
    <w:rsid w:val="FF97370F"/>
    <w:rsid w:val="FF9F8FC9"/>
    <w:rsid w:val="FF9FD92F"/>
    <w:rsid w:val="FFAD32E2"/>
    <w:rsid w:val="FFBB2172"/>
    <w:rsid w:val="FFBF28D0"/>
    <w:rsid w:val="FFBF524A"/>
    <w:rsid w:val="FFBFD3EE"/>
    <w:rsid w:val="FFCDC3EB"/>
    <w:rsid w:val="FFCFBA43"/>
    <w:rsid w:val="FFD74046"/>
    <w:rsid w:val="FFDF3151"/>
    <w:rsid w:val="FFDF392E"/>
    <w:rsid w:val="FFDFF5F3"/>
    <w:rsid w:val="FFE7B237"/>
    <w:rsid w:val="FFE7E141"/>
    <w:rsid w:val="FFEE1312"/>
    <w:rsid w:val="FFEEDB52"/>
    <w:rsid w:val="FFEEFF09"/>
    <w:rsid w:val="FFF3E0D6"/>
    <w:rsid w:val="FFF5ACE2"/>
    <w:rsid w:val="FFF74BFC"/>
    <w:rsid w:val="FFF97342"/>
    <w:rsid w:val="FFFF0CE0"/>
    <w:rsid w:val="FFFF25E2"/>
    <w:rsid w:val="FFFF9050"/>
    <w:rsid w:val="FFFFBC83"/>
    <w:rsid w:val="FFFFF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annotation text"/>
    <w:basedOn w:val="1"/>
    <w:qFormat/>
    <w:uiPriority w:val="0"/>
    <w:pPr>
      <w:spacing w:line="240" w:lineRule="auto"/>
      <w:ind w:firstLine="0"/>
      <w:jc w:val="left"/>
    </w:pPr>
    <w:rPr>
      <w:rFonts w:ascii="Times New Roman" w:hAnsi="Times New Roman"/>
      <w:kern w:val="0"/>
      <w:sz w:val="24"/>
      <w:szCs w:val="20"/>
    </w:rPr>
  </w:style>
  <w:style w:type="paragraph" w:styleId="6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7">
    <w:name w:val="Body Text Indent"/>
    <w:basedOn w:val="1"/>
    <w:next w:val="5"/>
    <w:qFormat/>
    <w:uiPriority w:val="0"/>
    <w:pPr>
      <w:ind w:firstLine="360"/>
    </w:p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widowControl/>
      <w:tabs>
        <w:tab w:val="right" w:leader="dot" w:pos="8778"/>
      </w:tabs>
      <w:spacing w:after="100" w:line="259" w:lineRule="auto"/>
      <w:jc w:val="left"/>
    </w:pPr>
    <w:rPr>
      <w:rFonts w:ascii="宋体" w:hAnsi="宋体"/>
      <w:b/>
      <w:bCs/>
      <w:kern w:val="0"/>
      <w:sz w:val="28"/>
      <w:szCs w:val="2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22638</Words>
  <Characters>22942</Characters>
  <Lines>1</Lines>
  <Paragraphs>1</Paragraphs>
  <TotalTime>43</TotalTime>
  <ScaleCrop>false</ScaleCrop>
  <LinksUpToDate>false</LinksUpToDate>
  <CharactersWithSpaces>23341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2021-04-27T19:26:00Z</dcterms:created>
  <dc:creator>linhong</dc:creator>
  <cp:lastModifiedBy>user</cp:lastModifiedBy>
  <cp:lastPrinted>2025-11-30T16:22:00Z</cp:lastPrinted>
  <dcterms:modified xsi:type="dcterms:W3CDTF">2025-12-03T15:56:00Z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