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84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388"/>
        <w:gridCol w:w="4949"/>
        <w:gridCol w:w="1684"/>
        <w:gridCol w:w="8"/>
        <w:gridCol w:w="1676"/>
        <w:gridCol w:w="4"/>
        <w:gridCol w:w="1680"/>
      </w:tblGrid>
      <w:tr w14:paraId="35CB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95" w:type="dxa"/>
            <w:vMerge w:val="restart"/>
            <w:vAlign w:val="center"/>
          </w:tcPr>
          <w:p w14:paraId="75D61DFB"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  <w:vertAlign w:val="baseline"/>
              </w:rPr>
              <w:t>、履约能力与团队配置与交付保障（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90</w:t>
            </w:r>
            <w:r>
              <w:rPr>
                <w:rFonts w:hint="eastAsia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2388" w:type="dxa"/>
            <w:vMerge w:val="restart"/>
            <w:vAlign w:val="center"/>
          </w:tcPr>
          <w:p w14:paraId="6BB3A7F1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3F9CFA34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715652A9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1D91CCF2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432B6102"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项目团队配置（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  <w:r>
              <w:rPr>
                <w:rFonts w:hint="eastAsia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4949" w:type="dxa"/>
            <w:vMerge w:val="restart"/>
          </w:tcPr>
          <w:p w14:paraId="3535CEB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评分标准及得分</w:t>
            </w:r>
          </w:p>
          <w:p w14:paraId="7769F83A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052" w:type="dxa"/>
            <w:gridSpan w:val="5"/>
          </w:tcPr>
          <w:p w14:paraId="256B652A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分项得分</w:t>
            </w:r>
          </w:p>
        </w:tc>
      </w:tr>
      <w:tr w14:paraId="5653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Merge w:val="continue"/>
            <w:vAlign w:val="center"/>
          </w:tcPr>
          <w:p w14:paraId="665417BD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 w14:paraId="7988309D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4949" w:type="dxa"/>
            <w:vMerge w:val="continue"/>
          </w:tcPr>
          <w:p w14:paraId="243EA55D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2" w:type="dxa"/>
            <w:gridSpan w:val="2"/>
          </w:tcPr>
          <w:p w14:paraId="118C1D15"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公司A</w:t>
            </w:r>
          </w:p>
        </w:tc>
        <w:tc>
          <w:tcPr>
            <w:tcW w:w="1680" w:type="dxa"/>
            <w:gridSpan w:val="2"/>
          </w:tcPr>
          <w:p w14:paraId="53F4A62D"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公司B</w:t>
            </w:r>
          </w:p>
        </w:tc>
        <w:tc>
          <w:tcPr>
            <w:tcW w:w="1680" w:type="dxa"/>
          </w:tcPr>
          <w:p w14:paraId="2BA3609B"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公司C</w:t>
            </w:r>
          </w:p>
        </w:tc>
      </w:tr>
      <w:tr w14:paraId="7B0F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Merge w:val="continue"/>
            <w:vAlign w:val="center"/>
          </w:tcPr>
          <w:p w14:paraId="04F14FCC"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388" w:type="dxa"/>
            <w:vMerge w:val="continue"/>
            <w:vAlign w:val="center"/>
          </w:tcPr>
          <w:p w14:paraId="3643DCC7"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949" w:type="dxa"/>
          </w:tcPr>
          <w:p w14:paraId="742A2C2B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公司专家熟悉医保检查规则，清楚医保数据结构，承担过国家或省级、市级“规则库”定制项目的提供合同，每份得5分，最多得10分。</w:t>
            </w:r>
          </w:p>
        </w:tc>
        <w:tc>
          <w:tcPr>
            <w:tcW w:w="1684" w:type="dxa"/>
          </w:tcPr>
          <w:p w14:paraId="6A2FB8EE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681C2665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5AB29BBE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9C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Merge w:val="continue"/>
            <w:vAlign w:val="center"/>
          </w:tcPr>
          <w:p w14:paraId="4F2AA8B6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 w14:paraId="46156146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4949" w:type="dxa"/>
          </w:tcPr>
          <w:p w14:paraId="7F3F1753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公司专家能够具备多种数据库处理能力，承担过国家或省级、市级“智能监管”项目的提供合同每份得5分，最多得10分。</w:t>
            </w:r>
          </w:p>
        </w:tc>
        <w:tc>
          <w:tcPr>
            <w:tcW w:w="1684" w:type="dxa"/>
          </w:tcPr>
          <w:p w14:paraId="16643908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19A65D6F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3569AE0F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F6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5" w:type="dxa"/>
            <w:vMerge w:val="continue"/>
            <w:vAlign w:val="center"/>
          </w:tcPr>
          <w:p w14:paraId="3BF4C17C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Merge w:val="continue"/>
            <w:vAlign w:val="center"/>
          </w:tcPr>
          <w:p w14:paraId="3D82C004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4949" w:type="dxa"/>
          </w:tcPr>
          <w:p w14:paraId="46469280">
            <w:pPr>
              <w:numPr>
                <w:ilvl w:val="0"/>
                <w:numId w:val="0"/>
              </w:num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3）公司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近3年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中标省级或市级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医保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飞行检查或中标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数据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筛查项目的提供证明文件每个得5分，总数不超过10分。</w:t>
            </w:r>
          </w:p>
        </w:tc>
        <w:tc>
          <w:tcPr>
            <w:tcW w:w="1684" w:type="dxa"/>
          </w:tcPr>
          <w:p w14:paraId="13BF6F19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72C41224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444CD07B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91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Merge w:val="continue"/>
            <w:vAlign w:val="center"/>
          </w:tcPr>
          <w:p w14:paraId="2F3616C8"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388" w:type="dxa"/>
            <w:vMerge w:val="continue"/>
            <w:vAlign w:val="center"/>
          </w:tcPr>
          <w:p w14:paraId="6BFD7F23"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949" w:type="dxa"/>
          </w:tcPr>
          <w:p w14:paraId="0E0FC3D6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（4）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具备自主研发的医保数据筛查系统（需提供软件著作权），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得10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分；</w:t>
            </w:r>
          </w:p>
        </w:tc>
        <w:tc>
          <w:tcPr>
            <w:tcW w:w="1684" w:type="dxa"/>
          </w:tcPr>
          <w:p w14:paraId="3B41D0E6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0523879F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1AB6FC8E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D3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Merge w:val="continue"/>
          </w:tcPr>
          <w:p w14:paraId="3E99DF02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719F9ABA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服务周期与交付保障（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4949" w:type="dxa"/>
          </w:tcPr>
          <w:p w14:paraId="497A0DF1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数据筛查承诺的交付周期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付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报告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每家医院不超过7日得20分；7~10日得10分；超过10日不得分。</w:t>
            </w:r>
          </w:p>
        </w:tc>
        <w:tc>
          <w:tcPr>
            <w:tcW w:w="1684" w:type="dxa"/>
          </w:tcPr>
          <w:p w14:paraId="400D89A0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</w:tcPr>
          <w:p w14:paraId="41231B9F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</w:tcPr>
          <w:p w14:paraId="1B084445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B6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Merge w:val="continue"/>
          </w:tcPr>
          <w:p w14:paraId="663EAA33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388" w:type="dxa"/>
            <w:vMerge w:val="continue"/>
            <w:vAlign w:val="center"/>
          </w:tcPr>
          <w:p w14:paraId="732B7EF2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4949" w:type="dxa"/>
          </w:tcPr>
          <w:p w14:paraId="3B356F7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提供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cstheme="minorHAnsi"/>
                <w:sz w:val="21"/>
                <w:szCs w:val="21"/>
                <w:vertAlign w:val="baseline"/>
                <w:lang w:val="en-US" w:eastAsia="zh-CN"/>
              </w:rPr>
              <w:t>24小时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电话咨询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服务（协助数据核验）。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得10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分。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不满足不得分。</w:t>
            </w:r>
          </w:p>
        </w:tc>
        <w:tc>
          <w:tcPr>
            <w:tcW w:w="1684" w:type="dxa"/>
          </w:tcPr>
          <w:p w14:paraId="1C14DD21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</w:tcPr>
          <w:p w14:paraId="30EFDE1C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</w:tcPr>
          <w:p w14:paraId="093580F6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44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Merge w:val="continue"/>
          </w:tcPr>
          <w:p w14:paraId="267780C4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388" w:type="dxa"/>
            <w:vMerge w:val="continue"/>
            <w:vAlign w:val="center"/>
          </w:tcPr>
          <w:p w14:paraId="0EB7656D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4949" w:type="dxa"/>
          </w:tcPr>
          <w:p w14:paraId="4CA3D4A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答疑（如报告解读）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得10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分。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不满足不得分。</w:t>
            </w:r>
          </w:p>
        </w:tc>
        <w:tc>
          <w:tcPr>
            <w:tcW w:w="1684" w:type="dxa"/>
          </w:tcPr>
          <w:p w14:paraId="02EB441F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</w:tcPr>
          <w:p w14:paraId="7C267112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</w:tcPr>
          <w:p w14:paraId="731BAB63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58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Merge w:val="continue"/>
          </w:tcPr>
          <w:p w14:paraId="05218248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388" w:type="dxa"/>
            <w:vMerge w:val="continue"/>
            <w:vAlign w:val="center"/>
          </w:tcPr>
          <w:p w14:paraId="2597F0E6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4949" w:type="dxa"/>
          </w:tcPr>
          <w:p w14:paraId="01AD198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提供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异常数据复核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得10分。不满足不得分。</w:t>
            </w:r>
          </w:p>
        </w:tc>
        <w:tc>
          <w:tcPr>
            <w:tcW w:w="1684" w:type="dxa"/>
          </w:tcPr>
          <w:p w14:paraId="6B3CC366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</w:tcPr>
          <w:p w14:paraId="4140E4C0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</w:tcPr>
          <w:p w14:paraId="6C16EE55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D1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295" w:type="dxa"/>
            <w:vAlign w:val="center"/>
          </w:tcPr>
          <w:p w14:paraId="5E89E07D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  <w:vertAlign w:val="baseline"/>
              </w:rPr>
              <w:t>、价格部分（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vertAlign w:val="baseline"/>
              </w:rPr>
              <w:t>分，采用“综合评分法”）</w:t>
            </w:r>
          </w:p>
        </w:tc>
        <w:tc>
          <w:tcPr>
            <w:tcW w:w="2388" w:type="dxa"/>
            <w:vAlign w:val="center"/>
          </w:tcPr>
          <w:p w14:paraId="40B95CE4"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报价合理性（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vertAlign w:val="baseline"/>
              </w:rPr>
              <w:t>分）</w:t>
            </w:r>
          </w:p>
        </w:tc>
        <w:tc>
          <w:tcPr>
            <w:tcW w:w="4949" w:type="dxa"/>
          </w:tcPr>
          <w:p w14:paraId="5CE632FC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以所有有效投标人的报价平均值（或最低报价）为基准价，报价等于基准价得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10分；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报价每高于基准价1%扣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最多扣10分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报价低于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基准价1%扣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分，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最多扣10分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；</w:t>
            </w:r>
            <w:bookmarkStart w:id="0" w:name="_GoBack"/>
            <w:bookmarkEnd w:id="0"/>
          </w:p>
        </w:tc>
        <w:tc>
          <w:tcPr>
            <w:tcW w:w="1684" w:type="dxa"/>
          </w:tcPr>
          <w:p w14:paraId="49298484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49D0E508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114B22F6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65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  <w:gridSpan w:val="3"/>
            <w:vAlign w:val="center"/>
          </w:tcPr>
          <w:p w14:paraId="2D9D727B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得分总计</w:t>
            </w:r>
          </w:p>
        </w:tc>
        <w:tc>
          <w:tcPr>
            <w:tcW w:w="1684" w:type="dxa"/>
          </w:tcPr>
          <w:p w14:paraId="254E2E33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05F3A1B1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</w:tcPr>
          <w:p w14:paraId="29FA7D4A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12E755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C0063"/>
    <w:multiLevelType w:val="singleLevel"/>
    <w:tmpl w:val="446C006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87598"/>
    <w:rsid w:val="00D42B98"/>
    <w:rsid w:val="01EB0249"/>
    <w:rsid w:val="07CC18D5"/>
    <w:rsid w:val="2AE41A66"/>
    <w:rsid w:val="348B083C"/>
    <w:rsid w:val="7188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513</Characters>
  <Lines>0</Lines>
  <Paragraphs>0</Paragraphs>
  <TotalTime>4</TotalTime>
  <ScaleCrop>false</ScaleCrop>
  <LinksUpToDate>false</LinksUpToDate>
  <CharactersWithSpaces>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2025-09-04T08:38:00Z</dcterms:created>
  <dc:creator>记着你的好</dc:creator>
  <cp:lastModifiedBy>卢计辑</cp:lastModifiedBy>
  <dcterms:modified xsi:type="dcterms:W3CDTF">2025-09-11T07:31:20Z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CC7A425559FF46F98534B362F86BFAA8_13</vt:lpwstr>
  </property>
  <property fmtid="{D5CDD505-2E9C-101B-9397-08002B2CF9AE}" pid="4" name="KSOTemplateDocerSaveRecord">
    <vt:lpwstr>eyJoZGlkIjoiMGFiZjc3NWM5NDQ2NTUwMzBjNjBmODYzNzAxODdhYjkiLCJ1c2VySWQiOiIzMDY2MDY3MzgifQ==</vt:lpwstr>
  </property>
</Properties>
</file>